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stretch/>
                        </a:blip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163.00pt;mso-position-horizontal:absolute;mso-position-vertical-relative:text;margin-top:-34.00pt;mso-position-vertical:absolute;width:133.22pt;height:131.84pt;mso-wrap-distance-left:9.00pt;mso-wrap-distance-top:0.00pt;mso-wrap-distance-right:9.00pt;mso-wrap-distance-bottom:0.00pt;v-text-anchor:middle;visibility:visible;" stroked="f">
                <v:fill r:id="rId8" o:title="" type="frame"/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r>
    </w:p>
    <w:p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284"/>
        <w:jc w:val="center"/>
        <w:rPr>
          <w:b/>
          <w:color w:val="1f497d"/>
        </w:rPr>
      </w:pPr>
      <w:r>
        <w:rPr>
          <w:b/>
          <w:color w:val="1f497d"/>
        </w:rPr>
      </w:r>
      <w:r>
        <w:rPr>
          <w:b/>
          <w:color w:val="1f497d"/>
        </w:rPr>
      </w:r>
    </w:p>
    <w:p>
      <w:pPr>
        <w:jc w:val="center"/>
        <w:keepNext/>
        <w:spacing w:before="240" w:after="120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1f497d"/>
          <w:sz w:val="24"/>
          <w:szCs w:val="24"/>
        </w:rPr>
        <w:t xml:space="preserve">ПРЕСС-РЕЛИЗ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jc w:val="center"/>
        <w:keepNext/>
        <w:spacing w:before="240" w:after="120"/>
        <w:rPr>
          <w:rFonts w:ascii="Liberation Sans" w:hAnsi="Liberation Sans" w:eastAsia="Liberation Sans" w:cs="Liberation Sans"/>
          <w:i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1f497d"/>
          <w:sz w:val="24"/>
          <w:szCs w:val="24"/>
        </w:rPr>
        <w:t xml:space="preserve">ОТДЕЛЕНИЯ  СОЦИАЛЬНОГО ФОНДА   РФ  ПО  АСТРАХАНСКОЙ  ОБЛАСТИ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9.00pt;mso-position-horizontal:absolute;mso-position-vertical-relative:text;margin-top:17.00pt;mso-position-vertical:absolute;width:487.90pt;height:1.00pt;mso-wrap-distance-left:9.00pt;mso-wrap-distance-top:0.00pt;mso-wrap-distance-right:9.00pt;mso-wrap-distance-bottom:0.00pt;visibility:visible;" filled="f" strokecolor="#1F497D" strokeweight="0.99pt">
                <v:stroke dashstyle="solid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i/>
          <w:color w:val="000000"/>
          <w:sz w:val="20"/>
          <w:szCs w:val="20"/>
        </w:rPr>
      </w:r>
    </w:p>
    <w:p>
      <w:pPr>
        <w:jc w:val="right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   414040, г. Астрахань</w:t>
      </w:r>
      <w:r>
        <w:rPr>
          <w:color w:val="000000"/>
        </w:rPr>
      </w:r>
    </w:p>
    <w:p>
      <w:pPr>
        <w:jc w:val="right"/>
        <w:spacing w:after="0"/>
        <w:rPr>
          <w:i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     ул. </w:t>
      </w:r>
      <w:r>
        <w:rPr>
          <w:i/>
          <w:color w:val="000000"/>
          <w:sz w:val="20"/>
          <w:szCs w:val="20"/>
        </w:rPr>
        <w:t xml:space="preserve">Ак</w:t>
      </w:r>
      <w:r>
        <w:rPr>
          <w:i/>
          <w:color w:val="000000"/>
          <w:sz w:val="20"/>
          <w:szCs w:val="20"/>
        </w:rPr>
        <w:t xml:space="preserve">.К</w:t>
      </w:r>
      <w:r>
        <w:rPr>
          <w:i/>
          <w:color w:val="000000"/>
          <w:sz w:val="20"/>
          <w:szCs w:val="20"/>
        </w:rPr>
        <w:t xml:space="preserve">оролева</w:t>
      </w:r>
      <w:r>
        <w:rPr>
          <w:i/>
          <w:color w:val="000000"/>
          <w:sz w:val="20"/>
          <w:szCs w:val="20"/>
        </w:rPr>
        <w:t xml:space="preserve">, 46</w:t>
      </w:r>
      <w:r>
        <w:rPr>
          <w:i/>
          <w:color w:val="000000"/>
          <w:sz w:val="20"/>
          <w:szCs w:val="20"/>
        </w:rPr>
      </w:r>
    </w:p>
    <w:p>
      <w:pPr>
        <w:jc w:val="right"/>
        <w:spacing w:after="0"/>
        <w:rPr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т/ф. 44-87-33</w:t>
      </w:r>
      <w:r>
        <w:rPr>
          <w:b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9" w:tooltip="http://www.pfrf.ru/" w:history="1">
        <w:r>
          <w:rPr>
            <w:color w:val="0000ff"/>
            <w:u w:val="single"/>
          </w:rPr>
          <w:t xml:space="preserve">www.sfr</w:t>
        </w:r>
      </w:hyperlink>
      <w:r>
        <w:rPr>
          <w:color w:val="0000ff"/>
          <w:u w:val="single"/>
        </w:rPr>
        <w:t xml:space="preserve">.gov.ru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В Астраханской области порядка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500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многодетных мам досрочно вышли на пенсию в 2024 году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i/>
          <w:sz w:val="24"/>
          <w:szCs w:val="24"/>
        </w:rPr>
      </w:pPr>
      <w:r>
        <w:rPr>
          <w:rFonts w:ascii="Times" w:hAnsi="Times" w:eastAsia="Times" w:cs="Times"/>
          <w:i/>
          <w:sz w:val="24"/>
          <w:szCs w:val="24"/>
          <w:highlight w:val="white"/>
        </w:rPr>
        <w:t xml:space="preserve">В 2024 году Отделение Социального фонда России по Астраханской области назначило пенсию по достижении возраста 50 </w:t>
      </w:r>
      <w:r>
        <w:rPr>
          <w:rFonts w:ascii="Times" w:hAnsi="Times" w:eastAsia="Times" w:cs="Times"/>
          <w:i/>
          <w:sz w:val="24"/>
          <w:szCs w:val="24"/>
        </w:rPr>
        <w:t xml:space="preserve">лет 50 многодетным мамам. В 56 лет на заслуженный отдых вышли 72 женщины, в 57 лет — 367 многодетных мам. </w:t>
      </w:r>
      <w:r>
        <w:rPr>
          <w:rFonts w:ascii="Times" w:hAnsi="Times" w:eastAsia="Times" w:cs="Times"/>
          <w:i/>
          <w:sz w:val="24"/>
          <w:szCs w:val="24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  <w:highlight w:val="white"/>
        </w:rPr>
        <w:t xml:space="preserve">Многодетные мамы, при наличии страхового стажа не менее 15 лет, имеют право досрочно выйти на пенсию. При этом величина индивидуального пенсионного коэффициента для выходящих на </w:t>
      </w:r>
      <w:r>
        <w:rPr>
          <w:rFonts w:ascii="Times" w:hAnsi="Times" w:eastAsia="Times" w:cs="Times"/>
          <w:sz w:val="24"/>
          <w:szCs w:val="24"/>
        </w:rPr>
        <w:t xml:space="preserve">пенсию в 2025 году должна быть не менее 30.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  <w:highlight w:val="white"/>
        </w:rPr>
      </w:pPr>
      <w:r>
        <w:rPr>
          <w:rFonts w:ascii="Times" w:hAnsi="Times" w:eastAsia="Times" w:cs="Times"/>
          <w:sz w:val="24"/>
          <w:szCs w:val="24"/>
          <w:highlight w:val="white"/>
        </w:rPr>
        <w:t xml:space="preserve">Женщины, которые родили 5 и более детей и воспитали их до достижения 8 лет, имеют право выйти на пенсию в 50 лет. Мамы четверых детей — в 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56 лет, а те, у кого трое детей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 — в 57 лет.</w:t>
      </w:r>
      <w:r>
        <w:rPr>
          <w:rFonts w:ascii="Times" w:hAnsi="Times" w:eastAsia="Times" w:cs="Times"/>
          <w:sz w:val="24"/>
          <w:szCs w:val="24"/>
          <w:highlight w:val="white"/>
        </w:rPr>
      </w:r>
    </w:p>
    <w:p>
      <w:pPr>
        <w:jc w:val="both"/>
        <w:spacing w:after="240" w:line="24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</w:rPr>
        <w:t xml:space="preserve">Период ухода за ребенком до 1,5 лет засчитывается в ст</w:t>
      </w:r>
      <w:r>
        <w:rPr>
          <w:rFonts w:ascii="Times" w:hAnsi="Times" w:eastAsia="Times" w:cs="Times"/>
          <w:sz w:val="24"/>
          <w:szCs w:val="24"/>
        </w:rPr>
        <w:t xml:space="preserve">раховой стаж (не более 6 лет в общей сложности). Так, маме троих детей учтут 4,5 года (если не совпадает время присмотра за первым и вторым ребенком), маме четверых детей - 6 лет. Указанные периоды подлежат включению в страховой стаж при условии, что до де</w:t>
      </w:r>
      <w:r>
        <w:rPr>
          <w:rFonts w:ascii="Times" w:hAnsi="Times" w:eastAsia="Times" w:cs="Times"/>
          <w:sz w:val="24"/>
          <w:szCs w:val="24"/>
        </w:rPr>
        <w:t xml:space="preserve">крета или после мама работала.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240" w:line="24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</w:rPr>
        <w:t xml:space="preserve">Важно отметить, что за периоды ухода за ребенком до 1,5 лет устанавливаются индивидуальные пенсионные коэффициенты, которые за полтора года составляют: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240" w:line="24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</w:rPr>
        <w:t xml:space="preserve">2,7 - по уходу за первым ребенком;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240" w:line="24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</w:rPr>
        <w:t xml:space="preserve">5,4  - по уходу за вторым ребенком;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240" w:line="240" w:lineRule="auto"/>
        <w:rPr>
          <w:rFonts w:ascii="Times" w:hAnsi="Times" w:eastAsia="Times" w:cs="Times"/>
          <w:sz w:val="24"/>
          <w:szCs w:val="24"/>
        </w:rPr>
      </w:pPr>
      <w:r>
        <w:rPr>
          <w:rFonts w:ascii="Times" w:hAnsi="Times" w:eastAsia="Times" w:cs="Times"/>
          <w:sz w:val="24"/>
          <w:szCs w:val="24"/>
        </w:rPr>
        <w:t xml:space="preserve">8,1 - по уходу за третьим или четвертым детьми.</w:t>
      </w:r>
      <w:r>
        <w:rPr>
          <w:rFonts w:ascii="Times" w:hAnsi="Times" w:eastAsia="Times" w:cs="Times"/>
          <w:sz w:val="24"/>
          <w:szCs w:val="24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  <w:highlight w:val="white"/>
        </w:rPr>
      </w:pPr>
      <w:r>
        <w:rPr>
          <w:rFonts w:ascii="Times" w:hAnsi="Times" w:eastAsia="Times" w:cs="Times"/>
          <w:sz w:val="24"/>
          <w:szCs w:val="24"/>
          <w:highlight w:val="white"/>
        </w:rPr>
        <w:t xml:space="preserve">Правом на получение страховой пенсии досрочно обладают также мамы, которые воспитывают усыновленных детей. Если женщина была лишена родительских прав, она может выйти на пенсию только на общих основаниях.</w:t>
      </w:r>
      <w:r>
        <w:rPr>
          <w:rFonts w:ascii="Times" w:hAnsi="Times" w:eastAsia="Times" w:cs="Times"/>
          <w:sz w:val="24"/>
          <w:szCs w:val="24"/>
          <w:highlight w:val="white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  <w:highlight w:val="white"/>
        </w:rPr>
      </w:pPr>
      <w:r>
        <w:rPr>
          <w:rFonts w:ascii="Times" w:hAnsi="Times" w:eastAsia="Times" w:cs="Times"/>
          <w:sz w:val="24"/>
          <w:szCs w:val="24"/>
          <w:highlight w:val="white"/>
        </w:rPr>
        <w:t xml:space="preserve">Кроме того, право выйти на заслуженный отдых досрочно имеет один из родителей ребенка с инвалидностью. Матери ребенка в таком случае пенсия назначается в 50 лет, а отцу — в 55 лет. Если досрочно на пенсию уходит отец ребенка, то страховой стаж у него долже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н быть не менее 20 лет. 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В 2024 году данным правом воспользовались </w:t>
      </w:r>
      <w:r>
        <w:rPr>
          <w:rFonts w:ascii="Times" w:hAnsi="Times" w:eastAsia="Times" w:cs="Times"/>
          <w:sz w:val="24"/>
          <w:szCs w:val="24"/>
        </w:rPr>
        <w:t xml:space="preserve">282 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астраханца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.</w:t>
      </w:r>
      <w:r>
        <w:rPr>
          <w:rFonts w:ascii="Times" w:hAnsi="Times" w:eastAsia="Times" w:cs="Times"/>
          <w:sz w:val="24"/>
          <w:szCs w:val="24"/>
          <w:highlight w:val="white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  <w:highlight w:val="white"/>
        </w:rPr>
      </w:pPr>
      <w:r>
        <w:rPr>
          <w:rFonts w:ascii="Times" w:hAnsi="Times" w:eastAsia="Times" w:cs="Times"/>
          <w:sz w:val="24"/>
          <w:szCs w:val="24"/>
          <w:highlight w:val="white"/>
        </w:rPr>
        <w:t xml:space="preserve">Заявление на назначение пенсии досрочно можно подать через портал 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госуслуг</w:t>
      </w:r>
      <w:r>
        <w:rPr>
          <w:rFonts w:ascii="Times" w:hAnsi="Times" w:eastAsia="Times" w:cs="Times"/>
          <w:sz w:val="24"/>
          <w:szCs w:val="24"/>
          <w:highlight w:val="white"/>
        </w:rPr>
        <w:t xml:space="preserve">, в МФЦ или клиентских службах Отделения СФР по Астраханской области. Адреса и график работы доступны на </w:t>
      </w:r>
      <w:hyperlink r:id="rId10" w:tooltip="https://sfr.gov.ru/branches/astrakhan/info/~0/7875" w:history="1">
        <w:r>
          <w:rPr>
            <w:rFonts w:ascii="Times" w:hAnsi="Times" w:eastAsia="Times" w:cs="Times"/>
            <w:color w:val="1155cc"/>
            <w:sz w:val="24"/>
            <w:szCs w:val="24"/>
            <w:highlight w:val="white"/>
            <w:u w:val="single"/>
          </w:rPr>
          <w:t xml:space="preserve">сайте</w:t>
        </w:r>
      </w:hyperlink>
      <w:r>
        <w:rPr>
          <w:rFonts w:ascii="Times" w:hAnsi="Times" w:eastAsia="Times" w:cs="Times"/>
          <w:sz w:val="24"/>
          <w:szCs w:val="24"/>
          <w:highlight w:val="white"/>
        </w:rPr>
        <w:t xml:space="preserve">. </w:t>
      </w:r>
      <w:r>
        <w:rPr>
          <w:rFonts w:ascii="Times" w:hAnsi="Times" w:eastAsia="Times" w:cs="Times"/>
          <w:sz w:val="24"/>
          <w:szCs w:val="24"/>
          <w:highlight w:val="white"/>
        </w:rPr>
      </w:r>
    </w:p>
    <w:p>
      <w:pPr>
        <w:jc w:val="both"/>
        <w:spacing w:before="240" w:after="0" w:line="360" w:lineRule="auto"/>
        <w:rPr>
          <w:rFonts w:ascii="Times" w:hAnsi="Times" w:eastAsia="Times" w:cs="Times"/>
          <w:sz w:val="24"/>
          <w:szCs w:val="24"/>
          <w:highlight w:val="white"/>
        </w:rPr>
      </w:pPr>
      <w:r>
        <w:rPr>
          <w:rFonts w:ascii="Times" w:hAnsi="Times" w:eastAsia="Times" w:cs="Times"/>
          <w:sz w:val="24"/>
          <w:szCs w:val="24"/>
          <w:highlight w:val="white"/>
        </w:rPr>
      </w:r>
      <w:r>
        <w:rPr>
          <w:rFonts w:ascii="Times" w:hAnsi="Times" w:eastAsia="Times" w:cs="Times"/>
          <w:sz w:val="24"/>
          <w:szCs w:val="24"/>
          <w:highlight w:val="white"/>
        </w:rPr>
      </w:r>
    </w:p>
    <w:p>
      <w:pPr>
        <w:jc w:val="both"/>
        <w:spacing w:before="240" w:after="240" w:line="240" w:lineRule="auto"/>
        <w:rPr>
          <w:rFonts w:ascii="Times" w:hAnsi="Times" w:eastAsia="Times" w:cs="Times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" w:hAnsi="Times" w:eastAsia="Times" w:cs="Time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Liberation Sans">
    <w:panose1 w:val="020B0604020202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5">
    <w:name w:val="Heading 2"/>
    <w:basedOn w:val="623"/>
    <w:next w:val="623"/>
    <w:pPr>
      <w:spacing w:line="240" w:lineRule="auto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626">
    <w:name w:val="Heading 3"/>
    <w:basedOn w:val="623"/>
    <w:next w:val="6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pPr>
      <w:keepLines/>
      <w:keepNext/>
      <w:spacing w:before="480" w:after="120"/>
    </w:pPr>
    <w:rPr>
      <w:b/>
      <w:sz w:val="72"/>
      <w:szCs w:val="72"/>
    </w:rPr>
  </w:style>
  <w:style w:type="paragraph" w:styleId="635">
    <w:name w:val="Subtitle"/>
    <w:basedOn w:val="623"/>
    <w:next w:val="6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636">
    <w:name w:val="Balloon Text"/>
    <w:basedOn w:val="623"/>
    <w:link w:val="6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7" w:customStyle="1">
    <w:name w:val="Текст выноски Знак"/>
    <w:basedOn w:val="630"/>
    <w:link w:val="6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://www.pfrf.ru/" TargetMode="External"/><Relationship Id="rId10" Type="http://schemas.openxmlformats.org/officeDocument/2006/relationships/hyperlink" Target="https://sfr.gov.ru/branches/astrakhan/info/~0/7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da.aubekerova@30.sfr.gov.ru</cp:lastModifiedBy>
  <cp:revision>3</cp:revision>
  <dcterms:created xsi:type="dcterms:W3CDTF">2025-03-03T04:55:00Z</dcterms:created>
  <dcterms:modified xsi:type="dcterms:W3CDTF">2025-03-04T04:50:52Z</dcterms:modified>
</cp:coreProperties>
</file>