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2070100</wp:posOffset>
                </wp:positionH>
                <wp:positionV relativeFrom="paragraph">
                  <wp:posOffset>-228599</wp:posOffset>
                </wp:positionV>
                <wp:extent cx="1337310" cy="1163320"/>
                <wp:effectExtent l="0" t="0" r="0" b="0"/>
                <wp:wrapNone/>
                <wp:docPr id="1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4682108" y="3203103"/>
                          <a:ext cx="1327785" cy="1153795"/>
                        </a:xfrm>
                        <a:prstGeom prst="rect">
                          <a:avLst/>
                        </a:prstGeom>
                        <a:blipFill>
                          <a:blip r:embed="rId9">
                            <a:alphaModFix/>
                          </a:blip>
                          <a:stretch/>
                        </a:blip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8240;o:allowoverlap:true;o:allowincell:true;mso-position-horizontal-relative:text;margin-left:163.00pt;mso-position-horizontal:absolute;mso-position-vertical-relative:text;margin-top:-18.00pt;mso-position-vertical:absolute;width:105.30pt;height:91.60pt;mso-wrap-distance-left:9.00pt;mso-wrap-distance-top:0.00pt;mso-wrap-distance-right:9.00pt;mso-wrap-distance-bottom:0.00pt;v-text-anchor:middle;visibility:visible;" stroked="f">
                <v:fill r:id="rId9" o:title="" type="frame"/>
                <v:textbox inset="0,0,0,0">
                  <w:txbxContent>
                    <w:p>
                      <w:pPr>
                        <w:spacing w:after="0" w:line="240" w:lineRule="auto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b/>
          <w:color w:val="212121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212121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212121"/>
          <w:sz w:val="28"/>
          <w:szCs w:val="28"/>
        </w:rPr>
      </w:r>
    </w:p>
    <w:p>
      <w:pPr>
        <w:ind w:left="-284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-284"/>
        <w:jc w:val="center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keepNext/>
        <w:spacing w:before="240" w:after="120" w:line="276" w:lineRule="auto"/>
        <w:rPr>
          <w:rFonts w:ascii="Liberation Sans" w:hAnsi="Liberation Sans" w:eastAsia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1f497d"/>
          <w:sz w:val="24"/>
          <w:szCs w:val="24"/>
        </w:rPr>
        <w:t xml:space="preserve">ПРЕСС-РЕЛИЗ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</w:p>
    <w:p>
      <w:pPr>
        <w:jc w:val="center"/>
        <w:keepNext/>
        <w:spacing w:before="240" w:after="120" w:line="276" w:lineRule="auto"/>
        <w:rPr>
          <w:rFonts w:ascii="Liberation Sans" w:hAnsi="Liberation Sans" w:eastAsia="Liberation Sans" w:cs="Liberation Sans"/>
          <w:i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1f497d"/>
          <w:sz w:val="24"/>
          <w:szCs w:val="24"/>
        </w:rPr>
        <w:t xml:space="preserve">ОТДЕЛЕНИЯ СОЦИАЛЬНОГО ФОНДА РФ ПО АСТРАХАНСКОЙ ОБЛАСТИ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215900</wp:posOffset>
                </wp:positionV>
                <wp:extent cx="6196330" cy="12700"/>
                <wp:effectExtent l="0" t="0" r="0" b="0"/>
                <wp:wrapNone/>
                <wp:docPr id="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247835" y="3776825"/>
                          <a:ext cx="6196330" cy="6350"/>
                        </a:xfrm>
                        <a:prstGeom prst="straightConnector1">
                          <a:avLst/>
                        </a:prstGeom>
                        <a:noFill/>
                        <a:ln w="12600" cap="sq" cmpd="sng">
                          <a:solidFill>
                            <a:srgbClr val="1F497D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31565" dir="2700000" algn="ctr" rotWithShape="0">
                            <a:srgbClr val="243F60"/>
                          </a:outerShdw>
                        </a:effectLst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text;margin-left:9.00pt;mso-position-horizontal:absolute;mso-position-vertical-relative:text;margin-top:17.00pt;mso-position-vertical:absolute;width:487.90pt;height:1.00pt;mso-wrap-distance-left:9.00pt;mso-wrap-distance-top:0.00pt;mso-wrap-distance-right:9.00pt;mso-wrap-distance-bottom:0.00pt;visibility:visible;" filled="f" strokecolor="#1F497D" strokeweight="0.99pt">
                <v:stroke dashstyle="solid"/>
              </v:shape>
            </w:pict>
          </mc:Fallback>
        </mc:AlternateContent>
      </w:r>
      <w:r>
        <w:rPr>
          <w:rFonts w:ascii="Liberation Sans" w:hAnsi="Liberation Sans" w:eastAsia="Liberation Sans" w:cs="Liberation Sans"/>
          <w:i/>
          <w:color w:val="000000"/>
          <w:sz w:val="20"/>
          <w:szCs w:val="20"/>
        </w:rPr>
      </w:r>
    </w:p>
    <w:p>
      <w:pPr>
        <w:jc w:val="right"/>
        <w:spacing w:after="0" w:line="276" w:lineRule="auto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  <w:color w:val="000000"/>
          <w:sz w:val="20"/>
          <w:szCs w:val="20"/>
        </w:rPr>
        <w:t xml:space="preserve">   414040, г. Астрахань</w:t>
      </w:r>
      <w:r>
        <w:rPr>
          <w:color w:val="000000"/>
        </w:rPr>
      </w:r>
    </w:p>
    <w:p>
      <w:pPr>
        <w:jc w:val="right"/>
        <w:spacing w:after="0" w:line="276" w:lineRule="auto"/>
        <w:rPr>
          <w:i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  <w:color w:val="000000"/>
          <w:sz w:val="20"/>
          <w:szCs w:val="20"/>
        </w:rPr>
        <w:t xml:space="preserve">     ул. </w:t>
      </w:r>
      <w:r>
        <w:rPr>
          <w:i/>
          <w:color w:val="000000"/>
          <w:sz w:val="20"/>
          <w:szCs w:val="20"/>
        </w:rPr>
        <w:t xml:space="preserve">Ак</w:t>
      </w:r>
      <w:r>
        <w:rPr>
          <w:i/>
          <w:color w:val="000000"/>
          <w:sz w:val="20"/>
          <w:szCs w:val="20"/>
        </w:rPr>
        <w:t xml:space="preserve">.К</w:t>
      </w:r>
      <w:r>
        <w:rPr>
          <w:i/>
          <w:color w:val="000000"/>
          <w:sz w:val="20"/>
          <w:szCs w:val="20"/>
        </w:rPr>
        <w:t xml:space="preserve">оролева</w:t>
      </w:r>
      <w:r>
        <w:rPr>
          <w:i/>
          <w:color w:val="000000"/>
          <w:sz w:val="20"/>
          <w:szCs w:val="20"/>
        </w:rPr>
        <w:t xml:space="preserve">, 46</w:t>
      </w:r>
      <w:r>
        <w:rPr>
          <w:i/>
          <w:color w:val="000000"/>
          <w:sz w:val="20"/>
          <w:szCs w:val="20"/>
        </w:rPr>
      </w:r>
    </w:p>
    <w:p>
      <w:pPr>
        <w:jc w:val="right"/>
        <w:spacing w:after="0" w:line="276" w:lineRule="auto"/>
        <w:rPr>
          <w:b/>
          <w:color w:val="00000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i/>
          <w:color w:val="000000"/>
          <w:sz w:val="20"/>
          <w:szCs w:val="20"/>
        </w:rPr>
        <w:t xml:space="preserve">т/ф. 44-87-33</w:t>
      </w:r>
      <w:r>
        <w:rPr>
          <w:b/>
          <w:color w:val="000000"/>
          <w:sz w:val="20"/>
          <w:szCs w:val="20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10" w:tooltip="http://www.pfrf.ru/" w:history="1">
        <w:r>
          <w:rPr>
            <w:color w:val="0563c1"/>
            <w:u w:val="single"/>
          </w:rPr>
          <w:t xml:space="preserve">www.sfr</w:t>
        </w:r>
      </w:hyperlink>
      <w:r>
        <w:rPr>
          <w:color w:val="0563c1"/>
          <w:u w:val="single"/>
        </w:rPr>
        <w:t xml:space="preserve">.gov.ru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right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240" w:line="276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Более 8,7 тысяч мам в Астраханской области получили услуги по родовым сертификатам в 2024 году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</w:p>
    <w:p>
      <w:pPr>
        <w:spacing w:after="240" w:line="276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В 2024 году Отделение Социального фонда России по Астраханской области оплатило услуги по родовым сертификатам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для 8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738 женщин и 11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516 новорожденных.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За полученную медицинскую помощь в период беременности и родов, а также наблюдение за малышом в первый год жизни, в медицинские учреждения региона было перечислено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свыше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92,9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миллионов рублей.</w:t>
      </w:r>
      <w:r>
        <w:rPr>
          <w:rFonts w:ascii="Times New Roman" w:hAnsi="Times New Roman" w:eastAsia="Times New Roman" w:cs="Times New Roman"/>
          <w:i/>
          <w:sz w:val="24"/>
          <w:szCs w:val="24"/>
        </w:rPr>
      </w:r>
    </w:p>
    <w:p>
      <w:pPr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Родовый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сертификат — это документ, который позволяет беременной женщине выбрать медицинскую организацию для родов, а также для наблюдения во время и после беременности. Получить его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можно на любом сроке беременности. Электронный сертификат формируется при первом посещении женской консультации по месту жительства либо в роддоме. Сертификат также может оформить детская поликлиника, где будут проводиться профилактические осмотры ребенка.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«Раньше женщине нужно было самостоятельно представлять бланк с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ертификата в медучреждение. Теперь этого не требуется, поскольку все необходимые сведения Отделение СФР по Астраханской области получает автоматически. После оказания услуг средства по талонам сертификата поступают на расчетные счета, открытые медицинским 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учреждениям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 в кредитных организациях. Их нельзя обналичить или использов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ать для погашения платных услуг</w:t>
      </w:r>
      <w:r>
        <w:rPr>
          <w:rFonts w:ascii="Times New Roman" w:hAnsi="Times New Roman" w:eastAsia="Times New Roman" w:cs="Times New Roman"/>
          <w:i/>
          <w:sz w:val="24"/>
          <w:szCs w:val="24"/>
        </w:rPr>
        <w:t xml:space="preserve">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— пояснил управляющий ОСФР по Астраханской области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Сергей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Кодюшев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Стоимость родового сертификата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составляет 12 000 рублей. Эти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средства идут на оплату услуг: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before="240"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оказанию помощи в амбулаторных условиях женщинам в период беременности;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правовой, психологической и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медико-социальной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помощи;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медицинской помощи во время родов и в послеродовой период;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расходам на профилактические медицинские осмотры ребенка в первый год жизни.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Для оформления сертификата нужны паспорт или документ, подтверждающий проживание (пребывание) на территории Российской Федерации, полис обязательного медицинского страхования (ОМС) и СНИЛС.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before="240" w:after="240" w:line="276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Ознакомиться с сертификатом можно в личном кабинете на портале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госуслуг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после того, как медучреждение его сформирует. Важно! Если будущая мама наблюдается на платной основе, то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родовый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сертификат не формируется. Оплате подлежат услуги, оказанные медицинскими организациями только в рамках ОМС.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pacing w:before="240" w:after="240" w:line="276" w:lineRule="auto"/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Если у вас остались вопросы, вы можете обратиться в единый контакт-центр Отделения СФР по Астраханской области, позвонив по номеру: 8-800-1-00000-1 (по будням с 8.00 до 17.00) звонок бесплатный.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Адреса клиентских служб Отделения СФР по Астраханской области представлены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hyperlink r:id="rId11" w:tooltip="https://sfr.gov.ru/branches/astrakhan/news/~2024/09/12/%D0%92%202024%20%D0%B3%D0%BE%D0%B4%D1%83%20%D1%83%D1%81%D0%BB%D1%83%D0%B3%D0%B0%D0%BC%D0%B8%20%D0%BF%D0%BE%20%D1%80%D0%BE%D0%B4%D0%BE%D0%B2%D0%BE%D0%BC%D1%83%20%D1%81%D0%B5%D1%80%D1%82%D0%B8%D1%84%D0%B8%D0%BA%D0%B0%D1%82%D1%83%20%D0%B2%D0%BE%D1%81%D0%BF%D0%BE%D0%BB%D1%8C%D0%B7%D0%BE%D0%B2%D0%B0%D0%BB%D0%B8%D1%81%D1%8C%205726%20%D0%B6%D0%B8%D1%82%D0%B5%D0%BB%D1%8C%D0%BD%D0%B8%D1%86%20%D0%90%D1%81%D1%82%D1%80%D0%B0%D1%85%D0%B0%D0%BD%D1%81%D0%BA%D0%BE%D0%B9%20%D0%BE%D0%B1%D0%BB%D0%B0%D1%81%D1%82%D0%B8.%20%D0%9D%D0%B0%20%D1%8D%D1%82%D0%B8%20%D1%86%D0%B5%D0%BB%D0%B8%20%D1%80%D0%B5%D0%B3%D0%B8%D0%BE%D0%BD%D0%B0%D0%BB%D1%8C%D0%BD%D0%BE%D0%B5%20%D0%9E%D1%82%D0%B4%D0%B5%D0%BB%D0%B5%D0%BD%D0%B8%D0%B5%20%D0%A1%D0%BE%D1%86%D0%B8%D0%B0%D0%BB%D1%8C%D0%BD%D0%BE%D0%B3%D0%BE%20%D1%84%D0%BE%D0%BD%D0%B4%D0%B0%20%D0%A0%D0%BE%D1%81%D1%81%D0%B8%D0%B8%20%D0%BF%D0%B5%D1%80%D0%B5%D1%87%D0%B8%D1%81%D0%BB%D0%B8%D0%BB%D0%BE%20%D0%B1%D0%BE%D0%BB%D0%B5%D0%B5%2060%20%D0%BC%D0%B8%D0%BB%D0%BB%D0%B8%D0%BE%D0%BD%D0%BE%D0%B2%20%D1%80%D1%83%D0%B1%D0%BB%D0%B5%D0%B9.%20%D0%94%D0%B5%D0%BD%D1%8C%D0%B3%D0%B8%20%D0%B1%D1%8B%D0%BB%D0%B8%20%D0%BD%D0%B0%D0%BF%D1%80%D0%B0%D0%B2%D0%BB%D0%B5%D0%BD%D1%8B%20%D0%BD%D0%B0%20%D0%BE%D0%BF%D0%BB%D0%B0%D1%82%D1%83%20%D1%83%D1%81%D0%BB%D1%83%D0%B3,%20%D0%BF%D1%80%D0%B5%D0%B4%D0%BE%D1%81%D1%82%D0%B0%D0%B2%D0%BB%D0%B5%D0%BD%D0%BD%D1%8B%D1%85%20%D0%B2%20%D1%81%D0%B2%D1%8F%D0%B7%D0%B8%20%D1%81%20%D0%B1%D0%B5%D1%80%D0%B5%D0%BC%D0%B5%D0%BD%D0%BD%D0%BE%D1%81%D1%82%D1%8C%D1%8E,%20%D1%80%D0%BE%D0%B6%D0%B4%D0%B5%D0%BD%D0%B8%D0%B5%D0%BC%20%D0%B8%20%D0%BF%D1%80%D0%BE%D0%B2%D0%B5%D0%B4%D0%B5%D0%BD%D0%B8%D0%B5%D0%BC%20%D0%BF%D1%80%D0%BE%D1%84%D0%B8%D0%BB%D0%B0%D0%BA%D1%82%D0%B8%D1%87%D0%B5%D1%81%D0%BA%D0%B8%D1%85%20%D0%BC%D0%B5%D0%B4%D0%B8%D1%86%D0%B8%D0%BD%D1%81%D0%BA%D0%B8%D1%85%20%D0%BE%D1%81%D0%BC%D0%BE%D1%82%D1%80%D0%BE%D0%B2%20%D1%80%D0%B5%D0%B1%D0%B5%D0%BD%D0%BA%D0%B0%20%D0%B2%20%D1%82%D0%B5%D1%87%D0%B5%D0%BD%D0%B8%D0%B5%20%D0%BF%D0%B5%D1%80%D0%B2%D0%BE%D0%B3%D0%BE%20%D0%B3%D0%BE%D0%B4%D0%B0%20%D0%B6%D0%B8%252" w:history="1">
        <w:r>
          <w:rPr>
            <w:rFonts w:ascii="Times New Roman" w:hAnsi="Times New Roman" w:eastAsia="Times New Roman" w:cs="Times New Roman"/>
            <w:color w:val="1155cc"/>
            <w:sz w:val="24"/>
            <w:szCs w:val="24"/>
            <w:u w:val="single"/>
          </w:rPr>
          <w:t xml:space="preserve">на сайте</w:t>
        </w:r>
      </w:hyperlink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  <w:t xml:space="preserve">.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Tahoma">
    <w:panose1 w:val="020B0604030504040204"/>
  </w:font>
  <w:font w:name="Georgia">
    <w:panose1 w:val="02040502050405020303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4"/>
    <w:link w:val="62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4"/>
    <w:link w:val="62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4"/>
    <w:link w:val="63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4"/>
    <w:link w:val="63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4"/>
    <w:link w:val="63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4"/>
    <w:link w:val="63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2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4"/>
    <w:link w:val="638"/>
    <w:uiPriority w:val="10"/>
    <w:rPr>
      <w:sz w:val="48"/>
      <w:szCs w:val="48"/>
    </w:rPr>
  </w:style>
  <w:style w:type="character" w:styleId="37">
    <w:name w:val="Subtitle Char"/>
    <w:basedOn w:val="634"/>
    <w:link w:val="639"/>
    <w:uiPriority w:val="11"/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4"/>
    <w:link w:val="42"/>
    <w:uiPriority w:val="99"/>
  </w:style>
  <w:style w:type="paragraph" w:styleId="44">
    <w:name w:val="Footer"/>
    <w:basedOn w:val="62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4"/>
    <w:link w:val="44"/>
    <w:uiPriority w:val="99"/>
  </w:style>
  <w:style w:type="paragraph" w:styleId="46">
    <w:name w:val="Caption"/>
    <w:basedOn w:val="627"/>
    <w:next w:val="6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4"/>
    <w:uiPriority w:val="99"/>
    <w:unhideWhenUsed/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4"/>
    <w:uiPriority w:val="99"/>
    <w:semiHidden/>
    <w:unhideWhenUsed/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</w:style>
  <w:style w:type="paragraph" w:styleId="628">
    <w:name w:val="Heading 1"/>
    <w:basedOn w:val="627"/>
    <w:next w:val="627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29">
    <w:name w:val="Heading 2"/>
    <w:basedOn w:val="627"/>
    <w:next w:val="62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30">
    <w:name w:val="Heading 3"/>
    <w:basedOn w:val="627"/>
    <w:next w:val="62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31">
    <w:name w:val="Heading 4"/>
    <w:basedOn w:val="627"/>
    <w:next w:val="627"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32">
    <w:name w:val="Heading 5"/>
    <w:basedOn w:val="627"/>
    <w:next w:val="627"/>
    <w:pPr>
      <w:keepLines/>
      <w:keepNext/>
      <w:spacing w:before="220" w:after="40"/>
      <w:outlineLvl w:val="4"/>
    </w:pPr>
    <w:rPr>
      <w:b/>
    </w:rPr>
  </w:style>
  <w:style w:type="paragraph" w:styleId="633">
    <w:name w:val="Heading 6"/>
    <w:basedOn w:val="627"/>
    <w:next w:val="627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34" w:default="1">
    <w:name w:val="Default Paragraph Font"/>
    <w:uiPriority w:val="1"/>
    <w:semiHidden/>
    <w:unhideWhenUsed/>
  </w:style>
  <w:style w:type="table" w:styleId="6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6" w:default="1">
    <w:name w:val="No List"/>
    <w:uiPriority w:val="99"/>
    <w:semiHidden/>
    <w:unhideWhenUsed/>
  </w:style>
  <w:style w:type="table" w:styleId="63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38">
    <w:name w:val="Title"/>
    <w:basedOn w:val="627"/>
    <w:next w:val="627"/>
    <w:pPr>
      <w:keepLines/>
      <w:keepNext/>
      <w:spacing w:before="480" w:after="120"/>
    </w:pPr>
    <w:rPr>
      <w:b/>
      <w:sz w:val="72"/>
      <w:szCs w:val="72"/>
    </w:rPr>
  </w:style>
  <w:style w:type="paragraph" w:styleId="639">
    <w:name w:val="Subtitle"/>
    <w:basedOn w:val="627"/>
    <w:next w:val="627"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640">
    <w:name w:val="Balloon Text"/>
    <w:basedOn w:val="627"/>
    <w:link w:val="641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41" w:customStyle="1">
    <w:name w:val="Текст выноски Знак"/>
    <w:basedOn w:val="634"/>
    <w:link w:val="640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hyperlink" Target="http://www.pfrf.ru/" TargetMode="External"/><Relationship Id="rId11" Type="http://schemas.openxmlformats.org/officeDocument/2006/relationships/hyperlink" Target="https://sfr.gov.ru/branches/astrakhan/news/~2024/09/12/%D0%92%202024%20%D0%B3%D0%BE%D0%B4%D1%83%20%D1%83%D1%81%D0%BB%D1%83%D0%B3%D0%B0%D0%BC%D0%B8%20%D0%BF%D0%BE%20%D1%80%D0%BE%D0%B4%D0%BE%D0%B2%D0%BE%D0%BC%D1%83%20%D1%81%D0%B5%D1%80%D1%82%D0%B8%D1%84%D0%B8%D0%BA%D0%B0%D1%82%D1%83%20%D0%B2%D0%BE%D1%81%D0%BF%D0%BE%D0%BB%D1%8C%D0%B7%D0%BE%D0%B2%D0%B0%D0%BB%D0%B8%D1%81%D1%8C%205726%20%D0%B6%D0%B8%D1%82%D0%B5%D0%BB%D1%8C%D0%BD%D0%B8%D1%86%20%D0%90%D1%81%D1%82%D1%80%D0%B0%D1%85%D0%B0%D0%BD%D1%81%D0%BA%D0%BE%D0%B9%20%D0%BE%D0%B1%D0%BB%D0%B0%D1%81%D1%82%D0%B8.%20%D0%9D%D0%B0%20%D1%8D%D1%82%D0%B8%20%D1%86%D0%B5%D0%BB%D0%B8%20%D1%80%D0%B5%D0%B3%D0%B8%D0%BE%D0%BD%D0%B0%D0%BB%D1%8C%D0%BD%D0%BE%D0%B5%20%D0%9E%D1%82%D0%B4%D0%B5%D0%BB%D0%B5%D0%BD%D0%B8%D0%B5%20%D0%A1%D0%BE%D1%86%D0%B8%D0%B0%D0%BB%D1%8C%D0%BD%D0%BE%D0%B3%D0%BE%20%D1%84%D0%BE%D0%BD%D0%B4%D0%B0%20%D0%A0%D0%BE%D1%81%D1%81%D0%B8%D0%B8%20%D0%BF%D0%B5%D1%80%D0%B5%D1%87%D0%B8%D1%81%D0%BB%D0%B8%D0%BB%D0%BE%20%D0%B1%D0%BE%D0%BB%D0%B5%D0%B5%2060%20%D0%BC%D0%B8%D0%BB%D0%BB%D0%B8%D0%BE%D0%BD%D0%BE%D0%B2%20%D1%80%D1%83%D0%B1%D0%BB%D0%B5%D0%B9.%20%D0%94%D0%B5%D0%BD%D1%8C%D0%B3%D0%B8%20%D0%B1%D1%8B%D0%BB%D0%B8%20%D0%BD%D0%B0%D0%BF%D1%80%D0%B0%D0%B2%D0%BB%D0%B5%D0%BD%D1%8B%20%D0%BD%D0%B0%20%D0%BE%D0%BF%D0%BB%D0%B0%D1%82%D1%83%20%D1%83%D1%81%D0%BB%D1%83%D0%B3,%20%D0%BF%D1%80%D0%B5%D0%B4%D0%BE%D1%81%D1%82%D0%B0%D0%B2%D0%BB%D0%B5%D0%BD%D0%BD%D1%8B%D1%85%20%D0%B2%20%D1%81%D0%B2%D1%8F%D0%B7%D0%B8%20%D1%81%20%D0%B1%D0%B5%D1%80%D0%B5%D0%BC%D0%B5%D0%BD%D0%BD%D0%BE%D1%81%D1%82%D1%8C%D1%8E,%20%D1%80%D0%BE%D0%B6%D0%B4%D0%B5%D0%BD%D0%B8%D0%B5%D0%BC%20%D0%B8%20%D0%BF%D1%80%D0%BE%D0%B2%D0%B5%D0%B4%D0%B5%D0%BD%D0%B8%D0%B5%D0%BC%20%D0%BF%D1%80%D0%BE%D1%84%D0%B8%D0%BB%D0%B0%D0%BA%D1%82%D0%B8%D1%87%D0%B5%D1%81%D0%BA%D0%B8%D1%85%20%D0%BC%D0%B5%D0%B4%D0%B8%D1%86%D0%B8%D0%BD%D1%81%D0%BA%D0%B8%D1%85%20%D0%BE%D1%81%D0%BC%D0%BE%D1%82%D1%80%D0%BE%D0%B2%20%D1%80%D0%B5%D0%B1%D0%B5%D0%BD%D0%BA%D0%B0%20%D0%B2%20%D1%82%D0%B5%D1%87%D0%B5%D0%BD%D0%B8%D0%B5%20%D0%BF%D0%B5%D1%80%D0%B2%D0%BE%D0%B3%D0%BE%20%D0%B3%D0%BE%D0%B4%D0%B0%20%D0%B6%D0%B8%25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Ильященко Дарья Алексеевна</dc:creator>
  <cp:lastModifiedBy>da.aubekerova@30.sfr.gov.ru</cp:lastModifiedBy>
  <cp:revision>3</cp:revision>
  <dcterms:created xsi:type="dcterms:W3CDTF">2025-03-03T04:41:00Z</dcterms:created>
  <dcterms:modified xsi:type="dcterms:W3CDTF">2025-03-03T05:20:36Z</dcterms:modified>
</cp:coreProperties>
</file>