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90B" w:rsidRDefault="00D1012B">
      <w:pPr>
        <w:spacing w:after="0" w:line="240" w:lineRule="auto"/>
        <w:ind w:hanging="16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0</wp:posOffset>
                </wp:positionV>
                <wp:extent cx="1343025" cy="1303973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7300" y="3198420"/>
                          <a:ext cx="1337400" cy="116316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C3290B" w:rsidRDefault="00C329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2295525</wp:posOffset>
                </wp:positionH>
                <wp:positionV relativeFrom="paragraph">
                  <wp:posOffset>0</wp:posOffset>
                </wp:positionV>
                <wp:extent cx="1343025" cy="1303973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13039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3290B" w:rsidRDefault="00C32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C3290B" w:rsidRDefault="00C3290B">
      <w:pPr>
        <w:ind w:left="-284"/>
        <w:jc w:val="center"/>
        <w:rPr>
          <w:sz w:val="26"/>
          <w:szCs w:val="26"/>
        </w:rPr>
      </w:pPr>
    </w:p>
    <w:p w:rsidR="00C3290B" w:rsidRDefault="00C3290B">
      <w:pPr>
        <w:ind w:left="-284"/>
        <w:jc w:val="center"/>
        <w:rPr>
          <w:sz w:val="26"/>
          <w:szCs w:val="26"/>
        </w:rPr>
      </w:pPr>
    </w:p>
    <w:p w:rsidR="00C3290B" w:rsidRDefault="00C3290B">
      <w:pPr>
        <w:keepNext/>
        <w:spacing w:before="240" w:after="120" w:line="276" w:lineRule="auto"/>
        <w:jc w:val="center"/>
        <w:rPr>
          <w:rFonts w:ascii="Liberation Sans" w:eastAsia="Liberation Sans" w:hAnsi="Liberation Sans" w:cs="Liberation Sans"/>
          <w:b/>
          <w:color w:val="1F497D"/>
          <w:sz w:val="24"/>
          <w:szCs w:val="24"/>
        </w:rPr>
      </w:pPr>
    </w:p>
    <w:p w:rsidR="00C3290B" w:rsidRDefault="00D1012B">
      <w:pPr>
        <w:keepNext/>
        <w:spacing w:before="240" w:after="120" w:line="360" w:lineRule="auto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ПРЕСС-РЕЛИЗ</w:t>
      </w:r>
    </w:p>
    <w:p w:rsidR="00C3290B" w:rsidRDefault="00D1012B">
      <w:pPr>
        <w:keepNext/>
        <w:keepLines/>
        <w:spacing w:after="0" w:line="360" w:lineRule="auto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4"/>
          <w:szCs w:val="24"/>
        </w:rPr>
        <w:t>ОТДЕЛЕНИЯ СОЦИАЛЬНОГО ФОНДА РФ ПО АСТРАХАНСКОЙ ОБЛАСТИ</w:t>
      </w:r>
      <w:r w:rsidR="006A752A">
        <w:pict>
          <v:rect id="_x0000_i1025" style="width:0;height:1.5pt" o:hralign="center" o:hrstd="t" o:hr="t" fillcolor="#a0a0a0" stroked="f"/>
        </w:pict>
      </w:r>
    </w:p>
    <w:p w:rsidR="00C3290B" w:rsidRDefault="00D1012B">
      <w:pPr>
        <w:spacing w:after="0" w:line="276" w:lineRule="auto"/>
        <w:jc w:val="right"/>
        <w:rPr>
          <w:color w:val="000000"/>
        </w:rPr>
      </w:pPr>
      <w:r>
        <w:rPr>
          <w:i/>
          <w:color w:val="000000"/>
          <w:sz w:val="20"/>
          <w:szCs w:val="20"/>
        </w:rPr>
        <w:t xml:space="preserve">   414040, г. Астрахань</w:t>
      </w:r>
    </w:p>
    <w:p w:rsidR="00C3290B" w:rsidRDefault="00D1012B">
      <w:pPr>
        <w:spacing w:after="0" w:line="276" w:lineRule="auto"/>
        <w:jc w:val="right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ул. Ак.Королева, 46</w:t>
      </w:r>
    </w:p>
    <w:p w:rsidR="00C3290B" w:rsidRDefault="00D1012B">
      <w:pPr>
        <w:spacing w:after="0" w:line="276" w:lineRule="auto"/>
        <w:jc w:val="right"/>
        <w:rPr>
          <w:b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т/ф. 44-87-33</w:t>
      </w:r>
    </w:p>
    <w:p w:rsidR="00D1012B" w:rsidRDefault="00D1012B" w:rsidP="003A2CB5">
      <w:pPr>
        <w:spacing w:after="0" w:line="240" w:lineRule="auto"/>
        <w:jc w:val="right"/>
        <w:rPr>
          <w:color w:val="0563C1"/>
          <w:u w:val="single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Сайт:</w:t>
      </w:r>
      <w:r>
        <w:rPr>
          <w:color w:val="17365D"/>
          <w:sz w:val="20"/>
          <w:szCs w:val="20"/>
        </w:rPr>
        <w:t xml:space="preserve"> </w:t>
      </w:r>
      <w:hyperlink r:id="rId8" w:history="1">
        <w:r w:rsidR="006A752A" w:rsidRPr="002E04B9">
          <w:rPr>
            <w:rStyle w:val="a8"/>
          </w:rPr>
          <w:t>www.sfr.gov.ru</w:t>
        </w:r>
      </w:hyperlink>
    </w:p>
    <w:p w:rsidR="006A752A" w:rsidRPr="003A2CB5" w:rsidRDefault="006A752A" w:rsidP="003A2CB5">
      <w:pPr>
        <w:spacing w:after="0" w:line="240" w:lineRule="auto"/>
        <w:jc w:val="right"/>
        <w:rPr>
          <w:color w:val="0563C1"/>
          <w:u w:val="single"/>
        </w:rPr>
      </w:pPr>
    </w:p>
    <w:p w:rsidR="00C3290B" w:rsidRDefault="00D10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752A" w:rsidRPr="006A752A" w:rsidRDefault="00D1012B" w:rsidP="006A752A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Восстановление участников СВО в реабилитационном центре СФР «Тинаки» проходит с использованием инновационного оборудования</w:t>
      </w:r>
      <w:bookmarkStart w:id="0" w:name="_GoBack"/>
      <w:bookmarkEnd w:id="0"/>
    </w:p>
    <w:p w:rsidR="00C3290B" w:rsidRDefault="00D101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D0E0E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января 2025 года в России действует программа по санаторно-курортному лечению и медицинской реабилитации демобилизованных или уволенных участников специальной военной операции в 12 реабилитационных центрах СФР. С начала года бойцов на лечение и восстановление принимает и астраханский центр «Тинаки». Оздоровительные программы в нём проходят пациенты из разных регионов России. Чаще всего в реабилитационный центр СФР «Тинаки» приезжают военнослужащие из Воронежа, Москвы, Ростова, </w:t>
      </w:r>
      <w:r w:rsidR="003A2CB5">
        <w:rPr>
          <w:rFonts w:ascii="Times New Roman" w:eastAsia="Times New Roman" w:hAnsi="Times New Roman" w:cs="Times New Roman"/>
          <w:sz w:val="24"/>
          <w:szCs w:val="24"/>
        </w:rPr>
        <w:t xml:space="preserve">республики Дагестан, </w:t>
      </w:r>
      <w:r>
        <w:rPr>
          <w:rFonts w:ascii="Times New Roman" w:eastAsia="Times New Roman" w:hAnsi="Times New Roman" w:cs="Times New Roman"/>
          <w:sz w:val="24"/>
          <w:szCs w:val="24"/>
        </w:rPr>
        <w:t>Самары, Ставрополя и Чеченской республики.</w:t>
      </w:r>
    </w:p>
    <w:p w:rsidR="00C3290B" w:rsidRDefault="00C329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290B" w:rsidRDefault="00D101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медицински</w:t>
      </w:r>
      <w:r w:rsidR="003A2CB5">
        <w:rPr>
          <w:rFonts w:ascii="Times New Roman" w:eastAsia="Times New Roman" w:hAnsi="Times New Roman" w:cs="Times New Roman"/>
          <w:sz w:val="24"/>
          <w:szCs w:val="24"/>
        </w:rPr>
        <w:t>х показаний пациента высококвалифицирован</w:t>
      </w:r>
      <w:r>
        <w:rPr>
          <w:rFonts w:ascii="Times New Roman" w:eastAsia="Times New Roman" w:hAnsi="Times New Roman" w:cs="Times New Roman"/>
          <w:sz w:val="24"/>
          <w:szCs w:val="24"/>
        </w:rPr>
        <w:t>ные специалисты центра разрабатывают индивидуальную программу реабилитации. Специализация реабилитационного центра СФР «Тинаки» широкая, однако с приёмом участников спецоперации самым востребованным направлением работы стало лечение заболеваний опорно-двигательного аппарата. Наиболее часто такие пациенты поступают после ампутации конечностей, переломов и травм позвоночника, тазобедренных и коленных суставов. Своё здоровье они восстанавливают на инновационном оборудовании, которое поступило в «Тинаки» совсем недавно, но уже зарекомендовало себя как эффективное.</w:t>
      </w:r>
    </w:p>
    <w:p w:rsidR="00C3290B" w:rsidRDefault="00C329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290B" w:rsidRDefault="00D101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Так, в этом году специалисты реабилитационного центра внедрили в работу новую систему высокоинтенсивной магнитотерапии, электромагнитное поле которой обладает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глубокой проникаемостью в мышечные и нервные ткани, ускоряет процессы регенерации, улучшает кровообращение и эффективно устраняет боли. Система оснащена широким спектром режимов, что позволяет адаптировать терапию под индивидуальные потребности. </w:t>
      </w:r>
    </w:p>
    <w:p w:rsidR="00C3290B" w:rsidRDefault="00C329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290B" w:rsidRDefault="00D101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этого года применяется и аппарат для локальной криотерапии новейшего поколения, с помощью которого струей охлажденного воздуха снижают болевой синдром, мышечный тонус, скованность суставов и отеки. В числе преимуществ точная локализация и скорость воздействия. Специалисты центра отмечают высокую эффективность аппарата в избавлении от фантомных болей.</w:t>
      </w:r>
    </w:p>
    <w:p w:rsidR="00C3290B" w:rsidRDefault="00C329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Значимым приобретением стала антигравитационная беговая дорожка для реабилитации. Тренажер не имеет аналогов, поскольку использует технологию предсказуемо направленного давления воздуха, обеспечивающую точную, безопасную и комфортную разгрузочную терапию. Дозирование опорной нагрузки при тренировках позволяет заниматься как на ранних этапах реабилитации, так и в качестве продолжения терапии, положительно влияет на работу сердечно-сосудистой системы. Дорожка оснащена системой видеомониторинга, что позволяет анализировать походку и ощущения пациента в режиме реального времени с помощью камер и специального ПО, а также адаптировать условия в процессе и корректировать его ходьбу.</w:t>
      </w: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 используется в центре и аппаратно-программный комплекс электростимуляции и механотерапии для нейрореабилитации двигательных и висцеральных функций, поступивший в конце прошлого года. Тренажер поднимается на угол до 30%, постепенно увеличивая нагрузку на ноги и готовя пациента  с тяжелыми двигательными нарушениями к переходу в вертикальное положение. Во время процедуры на руки и ноги надеваются манжеты с электродами, через которые пропускается ток для стимуляции мышц в нужные фазы — сокращение либо расслабление. Одновременно работают внешние приводы, которые помогают конечностям двигаться, как при естественной ходьбе.</w:t>
      </w: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на балансе учреждения более 400 единиц медицинского оборудования, что позволяет проводить в реабилитационном центре СФР «Тинаки» более 300 оздоровительных процедур. Наряду с применением природных лечебных факторов здесь используются современные методы немедикаментозной терапии, в том числе психотерапия, общая аэрокриотерапия, ударно-волновая терапия, озонотерапия, рефлексотерапия, магнито-лазерная терапия, подводное вытяжение позвоночника,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лечебная физкультура в воде по системе реабилитации Спринт, скандинавская ходьба, тренажеры с биологически обратной связью. Эффективность восстановления отмечают участники спецоперации и ветераны боевых действий, возвращаясь после прохождения медицинской реабилитации в «Тинаки» на санаторно-курортное лечение.</w:t>
      </w: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Напомним, обе программы участники специальной военной операции могут пройти бесплатно 1 раз в год. Длительность зависит от индивидуальной программы лечения. Медицинская реабилитация пациента в среднем занимает 23 дня, прохождение санаторно- курортного лечения — не более 21 дня.</w:t>
      </w: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Подать заявление можно в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клиентской службе Отделения СФР по Астраханской области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в МФЦ или на госуслугах. Также нужно предоставить документы медучреждения, подтверждающие наличие показаний и отсутствие противопоказаний к медицинской реабилитации и санаторно-курортному лечению. Если у участника СВО нет таких документов, содействие в их получении окажут специалисты Отделения. </w:t>
      </w: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о направлении на санаторно-курортное лечение или медицинскую реабилитацию принимается в течение двух рабочих дней после подачи заявления. В течение дня после этого Отделение СФР по Астраханской области сообщит ветерану о результатах. Герои России и инвалиды I группы получают направление в реабилитационные центры Социального фонда вне очереди.</w:t>
      </w: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для всех ветеранов спецоперации предусмотрена компенсация затрат на проезд до реабилитационного центра и обратно. Для возмещения расходов на дорогу необходимо подать заявление и приложить к нему документы, подтверждающие проезд.</w:t>
      </w:r>
    </w:p>
    <w:p w:rsidR="00C3290B" w:rsidRDefault="00D1012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у вас остались вопросы, вы всегда можете обратиться за консультацией по телефону единого контакт-центра Отделения СФР по Астраханской области: 8 (800) 100-00-01. Наши специалисты готовы ответить вам в будние дни с 8.00 до 17.00 (в пятницу до 16.00). </w:t>
      </w:r>
    </w:p>
    <w:p w:rsidR="00C3290B" w:rsidRDefault="00C3290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290B" w:rsidRDefault="00C3290B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3290B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262CEDC-CF6C-407E-8A7B-06ED0C45A1FF}"/>
    <w:embedBold r:id="rId2" w:fontKey="{221AC7BB-98D0-4993-818A-ADFAE4D75AE5}"/>
    <w:embedItalic r:id="rId3" w:fontKey="{F8071AB1-6F21-428A-A006-6E915CEE193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146E268E-98DD-48A9-8FD7-5FB21840752A}"/>
    <w:embedItalic r:id="rId5" w:fontKey="{058809F6-633E-43C4-9448-39BAEADBEA6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D88E7E9-699F-4F96-AD90-09ABE198217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8C889BAE-0DF5-40FD-9450-4574ADFD6C31}"/>
  </w:font>
  <w:font w:name="Liberation Sans">
    <w:altName w:val="Times New Roman"/>
    <w:charset w:val="01"/>
    <w:family w:val="swiss"/>
    <w:pitch w:val="default"/>
    <w:sig w:usb0="00000000" w:usb1="500078FF" w:usb2="00000021" w:usb3="00000000" w:csb0="600001BF" w:csb1="DFF7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8" w:fontKey="{E9A766FA-2764-4ECF-84C1-C7689EA8B585}"/>
    <w:embedBold r:id="rId9" w:fontKey="{BFB96CF9-2FAF-41F4-B848-9725F18A12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8652E"/>
    <w:multiLevelType w:val="multilevel"/>
    <w:tmpl w:val="BBC056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3290B"/>
    <w:rsid w:val="003A2CB5"/>
    <w:rsid w:val="006A752A"/>
    <w:rsid w:val="00843DD7"/>
    <w:rsid w:val="00C3290B"/>
    <w:rsid w:val="00D1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D1012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A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CB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A75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D1012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A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CB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A75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fr.gov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fr.gov.ru/branches/astrakhan/info/~0/787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Туровская Наталья Александровна</dc:creator>
  <cp:lastModifiedBy>Ткачёва Ирина Константиновна</cp:lastModifiedBy>
  <cp:revision>2</cp:revision>
  <dcterms:created xsi:type="dcterms:W3CDTF">2025-11-05T06:00:00Z</dcterms:created>
  <dcterms:modified xsi:type="dcterms:W3CDTF">2025-11-05T06:00:00Z</dcterms:modified>
</cp:coreProperties>
</file>